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— InsureFlow Claims Platform</w:t>
      </w:r>
    </w:p>
    <w:p>
      <w:r>
        <w:t>FR-101: The claim intake service shall allow policyholders to enter accident date, incident location, involved parties, and submit FNOL claims.</w:t>
      </w:r>
    </w:p>
    <w:p>
      <w:r>
        <w:t>FR-102: The estimation engine shall compute projected claim payout amounts by applying deductible schedules and insurance policy limits.</w:t>
      </w:r>
    </w:p>
    <w:p>
      <w:r>
        <w:t>FR-103: The adjuster workflow service shall route pending claims to designated claims adjusters for damage appraisal and approval.</w:t>
      </w:r>
    </w:p>
    <w:p>
      <w:r>
        <w:t>FR-104: The claim withdrawal module shall permit policyholders to withdraw pending claims and release insurance reserve holds.</w:t>
      </w:r>
    </w:p>
    <w:p>
      <w:r>
        <w:t>FR-105: The mobile upload service shall allow policyholders to photograph vehicle damage, perform invoice OCR, and attach photos to claims.</w:t>
      </w:r>
    </w:p>
    <w:p>
      <w:r>
        <w:t>FR-106: The fraud prevention module shall compute image hashes and merchant totals to detect duplicate invoice submissions across claims.</w:t>
      </w:r>
    </w:p>
    <w:p>
      <w:r>
        <w:t>FR-107: The access control engine shall enforce RBAC boundaries preventing policyholders from viewing other policyholders' claim files.</w:t>
      </w:r>
    </w:p>
    <w:p>
      <w:r>
        <w:t>FR-108: The financial settlement service shall match approved claim disbursement records against corporate bank payout transaction feeds.</w:t>
      </w:r>
    </w:p>
    <w:p>
      <w:r>
        <w:t>FR-109: Policyholder account passwords shall be stored using reversible DES encryption so that customer support agents can read passwords over phone.</w:t>
      </w:r>
    </w:p>
    <w:p>
      <w:r>
        <w:t>FR-110: The claim processing platform shall support a minimum of 6000 concurrent claim filings during catastrophic severe weather storm events.</w:t>
      </w:r>
    </w:p>
    <w:p>
      <w:r>
        <w:t>NFR-101: The insurance claim platform shall comply with NAIC insurance data privacy and state statutory insurance regulations.</w:t>
      </w:r>
    </w:p>
    <w:p>
      <w:r>
        <w:t>NFR-102: The online claim submission portal shall maintain 99.95% system uptime availability during disaster declaration periods.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