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InsureFlow Claims Platform</w:t>
      </w:r>
    </w:p>
    <w:p>
      <w:r>
        <w:t>US-301: As an insured driver, I want to file a First Notice of Loss claim online after an accident so that my insurance claim is registered.</w:t>
      </w:r>
    </w:p>
    <w:p>
      <w:r>
        <w:t>US-302: As a policyholder, I want to view an estimated claim payout calculation showing my deductible deduction before submitting.</w:t>
      </w:r>
    </w:p>
    <w:p>
      <w:r>
        <w:t>US-303: As a claims adjuster, I want to review submitted vehicle damage photos and approve claim repair estimates from my dashboard.</w:t>
      </w:r>
    </w:p>
    <w:p>
      <w:r>
        <w:t>US-304: As a driver who settled damages privately, I want to withdraw my pending insurance claim so that no claim record affects my policy.</w:t>
      </w:r>
    </w:p>
    <w:p>
      <w:r>
        <w:t>US-305: As a policyholder, I want to photograph body shop repair receipts and damage photos with my phone to attach to my claim.</w:t>
      </w:r>
    </w:p>
    <w:p>
      <w:r>
        <w:t>US-306: As a policyholder, I want to log into my insurance account using my email and secure password to view my claim status.</w:t>
      </w:r>
    </w:p>
    <w:p>
      <w:r>
        <w:t>US-307: As an insurance fraud investigator, I want an immutable audit log of all claim approvals and disbursement payouts for state audits.</w:t>
      </w:r>
    </w:p>
    <w:p>
      <w:r>
        <w:t>US-308: As an insurance financial clerk, I want an automated reconciliation report matching approved claim payouts against bank ACH files.</w:t>
      </w:r>
    </w:p>
    <w:p>
      <w:r>
        <w:t>US-309: As a policyholder filing during a hurricane storm, I want the insurance portal to process my claim without timeout crashes.</w:t>
      </w:r>
    </w:p>
    <w:p>
      <w:r>
        <w:t>US-310: As an insurance corporate archivist, I want to export paper claim dossiers to microfiche film for underground storage vaults.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