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InsureFlow Claims Platform</w:t>
      </w:r>
    </w:p>
    <w:p>
      <w:r>
        <w:t>TC-401: Verify that a policyholder can submit an FNOL claim with accident date and location, and the record is created in claims_intake.</w:t>
      </w:r>
    </w:p>
    <w:p>
      <w:r>
        <w:t>TC-402: Verify that the estimation engine correctly applies the 500 dollar collision deductible and calculates projected insurance payout.</w:t>
      </w:r>
    </w:p>
    <w:p>
      <w:r>
        <w:t>TC-403: Verify that a claims adjuster can approve an appraised claim, status transitions to APPROVED, and payout authorization is generated.</w:t>
      </w:r>
    </w:p>
    <w:p>
      <w:r>
        <w:t>TC-404: Verify that a policyholder can withdraw a pending claim, status updates to WITHDRAWN, and claim reserve amount is released.</w:t>
      </w:r>
    </w:p>
    <w:p>
      <w:r>
        <w:t>TC-405: Verify that uploading a damage photo extracts repair shop invoice metadata and associates photos with the insurance claim.</w:t>
      </w:r>
    </w:p>
    <w:p>
      <w:r>
        <w:t>TC-406: Verify that uploading a duplicate repair invoice image flags the claim with a fraud warning and blocks duplicate settlement payout.</w:t>
      </w:r>
    </w:p>
    <w:p>
      <w:r>
        <w:t>TC-407: Verify that attempting to access another policyholder's claim without adjuster permissions returns 403 Forbidden.</w:t>
      </w:r>
    </w:p>
    <w:p>
      <w:r>
        <w:t>TC-408: Verify that user passwords are saved as salted Argon2id hashes and no reversible or plaintext passwords exist in credentials table.</w:t>
      </w:r>
    </w:p>
    <w:p>
      <w:r>
        <w:t>TC-409: Verify that the claim submission intake service sustains 6000 concurrent claim filings with p99 response time under 1 second.</w:t>
      </w:r>
    </w:p>
    <w:p>
      <w:r>
        <w:t>TC-410: Verify that the adjuster breakroom HEPA air purifier ionizer powers on when pressing the filter cycle button.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