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InsureFlow Claims Platform</w:t>
      </w:r>
    </w:p>
    <w:p>
      <w:r>
        <w:t>CR-501: Enhance FR-103 to support instant SMS and WhatsApp claim approval notifications to policyholders in addition to email.</w:t>
      </w:r>
    </w:p>
    <w:p>
      <w:r>
        <w:t>CR-502: Modify FR-109 to prohibit reversible DES encryption and mandate salted Argon2id hashing in compliance with state regulations.</w:t>
      </w:r>
    </w:p>
    <w:p>
      <w:r>
        <w:t>CR-503: Extend FR-110 to support 12000 concurrent claim filings for the multi-state national flood catastrophe response.</w:t>
      </w:r>
    </w:p>
    <w:p>
      <w:r>
        <w:t>CR-504: Enhance FR-108 to support real-time Federal Reserve FedNow instant settlement bank reconciliation feeds.</w:t>
      </w:r>
    </w:p>
    <w:p>
      <w:r>
        <w:t>CR-505: Update FS-205 to support live video appraisal inspection streaming between policyholder and remote claims adjuster.</w:t>
      </w:r>
    </w:p>
    <w:p>
      <w:r>
        <w:t>CR-506: Install commercial electric vehicle Level 2 charging stations in the claims adjuster regional office parking 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