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InsureFlow Claims Platform</w:t>
      </w:r>
    </w:p>
    <w:p>
      <w:r>
        <w:t>DEC-601: Committee agreed that FR-103 adjuster appraisal forms must support digital stylus customer signatures on tablet devices.</w:t>
      </w:r>
    </w:p>
    <w:p>
      <w:r>
        <w:t>DEC-602: Security lead decided that FR-109 password recovery practice must be revoked and replaced with self-service SMS token reset.</w:t>
      </w:r>
    </w:p>
    <w:p>
      <w:r>
        <w:t>DEC-603: The team discussed AI computer vision damage appraisals but did not define algorithm accuracy thresholds or validation rules.</w:t>
      </w:r>
    </w:p>
    <w:p>
      <w:r>
        <w:t>DEC-604: Finance director confirmed that FR-108 bank settlement reconciliation must run daily at 02:00 AM UTC against bank SFTP.</w:t>
      </w:r>
    </w:p>
    <w:p>
      <w:r>
        <w:t>DEC-605: Audit committee confirmed that FR-107 RBAC permission rules must undergo mandatory semi-annual compliance audits.</w:t>
      </w:r>
    </w:p>
    <w:p>
      <w:r>
        <w:t>DEC-606: QA team agreed that TC-409 storm surge load tests must be run on staging clusters replicating multi-region infrastructure.</w:t>
      </w:r>
    </w:p>
    <w:p>
      <w:r>
        <w:t>DEC-607: Claims facility director decided to procure 25 ergonomic motorized standing desks for regional field adjusters.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