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NeuroFlow BCI Telemetry</w:t>
      </w:r>
    </w:p>
    <w:p>
      <w:r>
        <w:t>BR-001: The NeuroFlow system shall continuously stream multichannel EEG sensor telemetry from wearable neural headbands to clinician monitoring dashboards.</w:t>
      </w:r>
    </w:p>
    <w:p>
      <w:r>
        <w:t>BR-002: The platform shall automatically detect pre-ictal neural spike patterns and dispatch early seizure alerts to caregivers.</w:t>
      </w:r>
    </w:p>
    <w:p>
      <w:r>
        <w:t>BR-003: Clinical neurologists shall be able to place an emergency stimulation pause on active deep brain stimulation neuro-stimulators.</w:t>
      </w:r>
    </w:p>
    <w:p>
      <w:r>
        <w:t>BR-004: Patients shall be able to cancel or abort a scheduled therapeutic electrical pulse stimulation session before electrode pulse delivery begins.</w:t>
      </w:r>
    </w:p>
    <w:p>
      <w:r>
        <w:t>BR-005: The system shall calculate real-time cortical power spectral density across delta, theta, alpha, and beta frequency bands.</w:t>
      </w:r>
    </w:p>
    <w:p>
      <w:r>
        <w:t>BR-006: The platform shall automatically detect and prevent duplicate neural telemetry packet transmissions from implanted bio-sensors.</w:t>
      </w:r>
    </w:p>
    <w:p>
      <w:r>
        <w:t>BR-007: Clinical compliance auditors shall inspect an immutable chronological audit trail of all manual electrode voltage calibration adjustments.</w:t>
      </w:r>
    </w:p>
    <w:p>
      <w:r>
        <w:t>BR-008: Role-based authorization shall enforce strict four-eyes medical compliance separation between clinical research assistants and certified neurosurgeons.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