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NeuroFlow BCI Telemetry</w:t>
      </w:r>
    </w:p>
    <w:p>
      <w:r>
        <w:t>FR-101: The neural telemetry ingestion engine shall process 256-channel EEG data streams sampled at 1000 Hz over encrypted Bluetooth Low Energy BLE links.</w:t>
      </w:r>
    </w:p>
    <w:p>
      <w:r>
        <w:t>FR-102: The seizure prediction classifier shall analyze spike-wave discharge synchrony and dispatch instant push notifications when pre-ictal probability exceeds 0.85.</w:t>
      </w:r>
    </w:p>
    <w:p>
      <w:r>
        <w:t>FR-103: The stimulation safety fail-safe module shall allow neurologists to command immediate stimulation halt and discharge electrode capacitance.</w:t>
      </w:r>
    </w:p>
    <w:p>
      <w:r>
        <w:t>FR-104: The therapy cancellation service shall allow patients to withdraw pending neuromodulation pulse delivery sequences.</w:t>
      </w:r>
    </w:p>
    <w:p>
      <w:r>
        <w:t>FR-105: The spectral analysis engine shall compute Fast Fourier Transform FFT power spectra across 0.5 to 30 Hz neural frequency bands.</w:t>
      </w:r>
    </w:p>
    <w:p>
      <w:r>
        <w:t>FR-106: The telemetry intake engine shall detect and block duplicate neural telemetry packets sharing identical sequence timestamp signatures.</w:t>
      </w:r>
    </w:p>
    <w:p>
      <w:r>
        <w:t>FR-107: The calibration audit service shall store an immutable queryable history of electrode voltage adjustments with cryptographic clinician signatures.</w:t>
      </w:r>
    </w:p>
    <w:p>
      <w:r>
        <w:t>FR-108: The security engine shall enforce RBAC boundaries preventing non-certified lab technicians from modifying therapeutic stimulation parameters.</w:t>
      </w:r>
    </w:p>
    <w:p>
      <w:r>
        <w:t>FR-109: Patient neural biometric authentication templates shall be stored using reversible DES encryption so that support staff can recover forgotten patient profiles.</w:t>
      </w:r>
    </w:p>
    <w:p>
      <w:r>
        <w:t>FR-110: The clinical anomaly module shall allow neurologists to submit patient adverse event reports and attach EDF electroencephalogram recording exports.</w:t>
      </w:r>
    </w:p>
    <w:p>
      <w:r>
        <w:t>NFR-101: The real-time closed-loop neuromodulation API shall compute stimulation trigger decisions within 20 milliseconds under 100 concurrent patient streams.</w:t>
      </w:r>
    </w:p>
    <w:p>
      <w:r>
        <w:t>NFR-102: The clinical neurology platform shall maintain 99.999% high availability during active therapeutic neuromodulation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