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NeuroFlow BCI Telemetry</w:t>
      </w:r>
    </w:p>
    <w:p>
      <w:r>
        <w:t>FS-201: Implement BLE telemetry ingestion service parsing 256-channel float32 microvolt arrays and buffering in RingBuffer queues.</w:t>
      </w:r>
    </w:p>
    <w:p>
      <w:r>
        <w:t>FS-202: Implement seizure prediction neural network inference pipeline broadcasting WebSocket alerts when pre-ictal index crosses 0.85.</w:t>
      </w:r>
    </w:p>
    <w:p>
      <w:r>
        <w:t>FS-203: Implement emergency stimulation stop endpoint POST /api/implants/{id}/emergency-stop disabling stimulation pulses in under 5ms.</w:t>
      </w:r>
    </w:p>
    <w:p>
      <w:r>
        <w:t>FS-204: Implement therapy cancellation endpoint POST /api/therapy/sessions/{id}/cancel; transition status to CANCELLED.</w:t>
      </w:r>
    </w:p>
    <w:p>
      <w:r>
        <w:t>FS-205: Implement FFT spectral density calculation batch worker computing band powers for delta, theta, alpha, and beta oscillations.</w:t>
      </w:r>
    </w:p>
    <w:p>
      <w:r>
        <w:t>FS-206: Implement duplicate packet rejection trigger discarding redundant neural packets with HTTP 409 Conflict status.</w:t>
      </w:r>
    </w:p>
    <w:p>
      <w:r>
        <w:t>FS-207: Implement voltage audit query endpoint GET /api/audit/calibration returning immutable chronological logs and clinician cryptographic signatures.</w:t>
      </w:r>
    </w:p>
    <w:p>
      <w:r>
        <w:t>FS-208: Implement RBAC JWT permission validator enforcing LabTech &lt; ClinicalFellow &lt; AttendingNeurosurgeon authorization tiers.</w:t>
      </w:r>
    </w:p>
    <w:p>
      <w:r>
        <w:t>FS-209: Patient biometric authentication templates shall be secured using salted Argon2id cryptographic hashing. Reversible DES encryption is strictly prohibited.</w:t>
      </w:r>
    </w:p>
    <w:p>
      <w:r>
        <w:t>FS-210: Implement C++ real-time closed-loop stimulation engine with SIMD vectorization achieving trigger latency under 20ms.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