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Change Requests — NeuroFlow BCI Telemetry</w:t>
      </w:r>
    </w:p>
    <w:p>
      <w:r>
        <w:t>CR-501: Enhance FR-102 to support high-frequency oscillation (HFO) biomarker detection in addition to spike-wave discharge synchrony.</w:t>
      </w:r>
    </w:p>
    <w:p>
      <w:r>
        <w:t>CR-502: Modify FR-109 to prohibit reversible DES encryption and mandate salted Argon2id hashing across all biometric clinical databases.</w:t>
      </w:r>
    </w:p>
    <w:p>
      <w:r>
        <w:t>CR-503: Extend FR-105 to calculate cross-frequency phase-amplitude coupling (PAC) between theta and gamma oscillations in hippocampal implants.</w:t>
      </w:r>
    </w:p>
    <w:p>
      <w:r>
        <w:t>CR-504: Enhance FR-104 to support automated SMS notifications to attending clinical fellows when a patient cancels neuromodulation therapy.</w:t>
      </w:r>
    </w:p>
    <w:p>
      <w:r>
        <w:t>CR-505: Update FS-203 to support gradual voltage ramping during emergency shutoff to prevent sudden neural rebound seizures.</w:t>
      </w:r>
    </w:p>
    <w:p>
      <w:r>
        <w:t>CR-506: Procure and install 25 motorized ergonomic standing desks for clinical EEG telemetry observation center.</w:t>
      </w:r>
    </w:p>
    <w:p>
      <w:r>
        <w:t>CR-507: Add cafeteria hot lunch weekly ordering module for surgical staff.</w:t>
      </w:r>
    </w:p>
    <w:p>
      <w:r>
        <w:t>CR-508: Add implant battery solar inductive charging carbon footprint dashboard.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