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NeuroFlow BCI Telemetry</w:t>
      </w:r>
    </w:p>
    <w:p>
      <w:r>
        <w:t>DEC-601: Medical board agreed that FR-106 telemetry deduplication must check sequence timestamps in RingBuffer memory cache.</w:t>
      </w:r>
    </w:p>
    <w:p>
      <w:r>
        <w:t>DEC-602: Cybersecurity director confirmed that FR-109 reversible DES encryption violates FDA premarket cybersecurity guidance and must be eliminated.</w:t>
      </w:r>
    </w:p>
    <w:p>
      <w:r>
        <w:t>DEC-603: Neurosurgery team discussed optogenetic neural stimulation probes but clinical human trial safety approval was not determined.</w:t>
      </w:r>
    </w:p>
    <w:p>
      <w:r>
        <w:t>DEC-604: Compliance director confirmed that FR-107 calibration audit logs must be retained for 25 years per FDA medical device regulations.</w:t>
      </w:r>
    </w:p>
    <w:p>
      <w:r>
        <w:t>DEC-605: Ethics committee confirmed that FR-108 dual-authorization rules must be enforced before adjusting stimulation voltage above 3.5 volts.</w:t>
      </w:r>
    </w:p>
    <w:p>
      <w:r>
        <w:t>DEC-606: QA lead agreed that TC-409 latency benchmarks must evaluate 100 concurrent patient streams on real-time Linux kernel staging node.</w:t>
      </w:r>
    </w:p>
    <w:p>
      <w:r>
        <w:t>DEC-607: Operations director decided to procure 25 motorized standing desks for neuro-telemetry monitoring staff.</w:t>
      </w:r>
    </w:p>
    <w:p>
      <w:r>
        <w:t>DEC-608: Science committee discussed quantum neural magnetometer arrays for non-contact magnetoencephalography but feasibility study is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