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EduPay University Billing Platform</w:t>
      </w:r>
    </w:p>
    <w:p>
      <w:r>
        <w:t>FR-101: The student dashboard shall retrieve tuition fee schedules, lab fees, and housing charges from the student ledger and display itemized fee breakdowns.</w:t>
      </w:r>
    </w:p>
    <w:p>
      <w:r>
        <w:t>FR-102: The payment processing engine shall integrate with external payment gateways (Stripe and Razorpay) to process credit card, debit card, and net banking transactions.</w:t>
      </w:r>
    </w:p>
    <w:p>
      <w:r>
        <w:t>FR-103: The refund management service shall allow authorized finance officers to calculate and disburse refunds for dropped courses according to the university refund schedule.</w:t>
      </w:r>
    </w:p>
    <w:p>
      <w:r>
        <w:t>FR-104: The receipt generation service shall create verifiable PDF payment receipts with unique transaction reference numbers and downloadable tax statements.</w:t>
      </w:r>
    </w:p>
    <w:p>
      <w:r>
        <w:t>FR-105: The notification service shall dispatch email and SMS alerts for successful payment confirmations, upcoming installment due dates, and overdue fee warnings.</w:t>
      </w:r>
    </w:p>
    <w:p>
      <w:r>
        <w:t>FR-106: The access control subsystem shall enforce RBAC permissions preventing cashiers from approving refunds and restricting students to their own financial records.</w:t>
      </w:r>
    </w:p>
    <w:p>
      <w:r>
        <w:t>FR-107: The financial audit service shall write an immutable append-only record for all fee adjustments, refund approvals, and transaction state changes to the audit ledger.</w:t>
      </w:r>
    </w:p>
    <w:p>
      <w:r>
        <w:t>FR-108: The automated reconciliation engine shall ingest daily bank settlement CSV files and match transaction identifiers against internal ledger entries.</w:t>
      </w:r>
    </w:p>
    <w:p>
      <w:r>
        <w:t>FR-109: Student password credentials shall be stored using reversible DES encryption so that the student helpdesk can read original passwords to students over the phone.</w:t>
      </w:r>
    </w:p>
    <w:p>
      <w:r>
        <w:t>FR-110: The platform shall support a minimum throughput of 300 concurrent payment checkouts per minute during peak semester registration rush hours.</w:t>
      </w:r>
    </w:p>
    <w:p>
      <w:r>
        <w:t>NFR-101: The payment subsystem shall comply with PCI-DSS Level 1 security standards for credit card handling and tokenization.</w:t>
      </w:r>
    </w:p>
    <w:p>
      <w:r>
        <w:t>NFR-102: The fee payment portal shall maintain 99.95% availability during the scheduled two-week semester fee payment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