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EduPay University Billing Platform</w:t>
      </w:r>
    </w:p>
    <w:p>
      <w:r>
        <w:t>CR-501: Enhance FR-102 to support Apple Pay and Google Pay digital wallet checkouts in addition to standard credit card and net banking.</w:t>
      </w:r>
    </w:p>
    <w:p>
      <w:r>
        <w:t>CR-502: Modify FR-109 to prohibit reversible credential encryption and mandate salted argon2id password hashing in compliance with ISO 27001.</w:t>
      </w:r>
    </w:p>
    <w:p>
      <w:r>
        <w:t>CR-503: Update FR-105 to support WhatsApp payment receipts and installment alert notifications in addition to SMS and email.</w:t>
      </w:r>
    </w:p>
    <w:p>
      <w:r>
        <w:t>CR-504: Extend FR-110 to support 600 concurrent payment checkouts per minute for the university wide enrollment day expansion.</w:t>
      </w:r>
    </w:p>
    <w:p>
      <w:r>
        <w:t>CR-505: Update FS-204 to include university official tax identification number and digital signature on all downloadable PDF payment receipts.</w:t>
      </w:r>
    </w:p>
    <w:p>
      <w:r>
        <w:t>CR-506: Install a classroom smart projector scheduling system in the engineering lecture hall to manage audio-visual equipment reservations.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