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FoodFlow Delivery &amp; Kitchen Platform</w:t>
      </w:r>
    </w:p>
    <w:p>
      <w:r>
        <w:t>FR-101: The menu catalog service shall retrieve restaurant menus, dish descriptions, allergen tags, and real-time item availability within 200ms.</w:t>
      </w:r>
    </w:p>
    <w:p>
      <w:r>
        <w:t>FR-102: The checkout processing engine shall validate delivery addresses, apply discount promo codes, and process payments via Stripe and Apple Pay.</w:t>
      </w:r>
    </w:p>
    <w:p>
      <w:r>
        <w:t>FR-103: The kitchen display subsystem shall assign incoming orders to prep stations, display recipe tickets to chefs, and manage prep timers.</w:t>
      </w:r>
    </w:p>
    <w:p>
      <w:r>
        <w:t>FR-104: The courier telemetry service shall ingest GPS coordinates from courier mobile devices at 2-second intervals and compute real-time ETA.</w:t>
      </w:r>
    </w:p>
    <w:p>
      <w:r>
        <w:t>FR-105: The cancellation and refund module shall calculate refund amounts based on order prep status and disburse refunds to the customer's wallet.</w:t>
      </w:r>
    </w:p>
    <w:p>
      <w:r>
        <w:t>FR-106: The alert notification service shall send push notifications, SMS messages, and in-app sound chimes when an order status changes.</w:t>
      </w:r>
    </w:p>
    <w:p>
      <w:r>
        <w:t>FR-107: Customer password credentials shall be stored using reversible Caesar cipher so that kitchen call center staff can remind customers of passwords.</w:t>
      </w:r>
    </w:p>
    <w:p>
      <w:r>
        <w:t>FR-108: The access control engine shall enforce RBAC boundaries preventing couriers from viewing customer billing records or restaurant financials.</w:t>
      </w:r>
    </w:p>
    <w:p>
      <w:r>
        <w:t>FR-109: The food safety audit logging service shall record immutable timestamped entries for food prep handover and thermal temperature checks.</w:t>
      </w:r>
    </w:p>
    <w:p>
      <w:r>
        <w:t>FR-110: The platform shall support a minimum of 800 concurrent meal orders per minute during peak evening dinner rush hours without server errors.</w:t>
      </w:r>
    </w:p>
    <w:p>
      <w:r>
        <w:t>NFR-101: The mobile customer and courier applications shall comply with Apple iOS and Google Android location privacy guidelines.</w:t>
      </w:r>
    </w:p>
    <w:p>
      <w:r>
        <w:t>NFR-102: The dispatch system shall maintain 99.9% uptime availability during operational restaurant hours (06:00 AM to 02:00 AM).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