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FoodFlow Delivery &amp; Kitchen Platform</w:t>
      </w:r>
    </w:p>
    <w:p>
      <w:r>
        <w:t>CR-501: Enhance FR-102 to support scheduled future meal delivery orders in addition to immediate on-demand dispatch.</w:t>
      </w:r>
    </w:p>
    <w:p>
      <w:r>
        <w:t>CR-502: Modify FR-107 to mandate bcrypt salted password hashing and prohibit reversible credential storage in compliance with GDPR.</w:t>
      </w:r>
    </w:p>
    <w:p>
      <w:r>
        <w:t>CR-503: Update FR-104 to include drone delivery flight telemetry tracking in addition to standard motorcycle courier GPS coordinates.</w:t>
      </w:r>
    </w:p>
    <w:p>
      <w:r>
        <w:t>CR-504: Extend FR-110 to support 1500 concurrent meal orders per minute for the annual New Year's Eve dining surge.</w:t>
      </w:r>
    </w:p>
    <w:p>
      <w:r>
        <w:t>CR-505: Update FS-205 to allow partial cancellations when individual menu items are out of stock at the partner kitchen.</w:t>
      </w:r>
    </w:p>
    <w:p>
      <w:r>
        <w:t>CR-506: Install a kitchen staff locker room biometric attendance turnstile for employee clock-in clock-out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