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FoodFlow Delivery &amp; Kitchen Platform</w:t>
      </w:r>
    </w:p>
    <w:p>
      <w:r>
        <w:t>DEC-601: Product team decided that FR-101 menu catalog must support automated high-resolution dish photo compression.</w:t>
      </w:r>
    </w:p>
    <w:p>
      <w:r>
        <w:t>DEC-602: Security lead decided that FR-107 reversible password storage must be replaced with salted one-way hashing immediately.</w:t>
      </w:r>
    </w:p>
    <w:p>
      <w:r>
        <w:t>DEC-603: Operations director confirmed that FR-104 courier GPS tracking must maintain courier battery-saving polling mode when stationary.</w:t>
      </w:r>
    </w:p>
    <w:p>
      <w:r>
        <w:t>DEC-604: Compliance team agreed that FR-109 food hygiene logs must be exported monthly for local municipal health authority reviews.</w:t>
      </w:r>
    </w:p>
    <w:p>
      <w:r>
        <w:t>DEC-605: Engineering team agreed to benchmark FR-103 kitchen display WebSocket connection limits before the holiday rush.</w:t>
      </w:r>
    </w:p>
    <w:p>
      <w:r>
        <w:t>DEC-606: QA team agreed that TC-404 courier tracking test must simulate GPS movement along a simulated city roadway trajectory.</w:t>
      </w:r>
    </w:p>
    <w:p>
      <w:r>
        <w:t>DEC-607: Central commissary manager decided to purchase 20 commercial stainless steel chef knives and chopping boards for kitchen prep.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