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AquaForge Subsea Platform</w:t>
      </w:r>
    </w:p>
    <w:p>
      <w:r>
        <w:t>BR-001: The subsea platform shall broadcast acoustic depth coordinates to the surface support vessel.</w:t>
      </w:r>
    </w:p>
    <w:p>
      <w:r>
        <w:t>BR-002: The safety subsystem shall detect hydrothermal vent pressure surges and trigger relief valve depressurization.</w:t>
      </w:r>
    </w:p>
    <w:p>
      <w:r>
        <w:t>BR-003: The navigation module shall calculate ballast buoyancy displacement vectors for depth stabilization.</w:t>
      </w:r>
    </w:p>
    <w:p>
      <w:r>
        <w:t>BR-004: The compliance manager shall archive mineral extraction logs and export environmental compliance receipts.</w:t>
      </w:r>
    </w:p>
    <w:p>
      <w:r>
        <w:t>BR-005: The sonar processor shall detect and filter duplicate sonar ping packet identifiers.</w:t>
      </w:r>
    </w:p>
    <w:p>
      <w:r>
        <w:t>BR-006: The platform shall authenticate subsea robotics pilots using biometric credentials.</w:t>
      </w:r>
    </w:p>
    <w:p>
      <w:r>
        <w:t>BR-007: The robotic arm shall articulate high-pressure seafloor core drill assemblies.</w:t>
      </w:r>
    </w:p>
    <w:p>
      <w:r>
        <w:t>BR-008: The power subsystem shall monitor battery thermal dissipation in cold abyss waters.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