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Requirements Specification — AquaForge Subsea Control</w:t>
      </w:r>
    </w:p>
    <w:p>
      <w:r>
        <w:t>FR-101: The bridge UI displays acoustic telemetry packet loss rates and connection widgets.</w:t>
      </w:r>
    </w:p>
    <w:p>
      <w:r>
        <w:t>FR-102: The acoustic modem broadcasts depth coordinates to the vessel tracking receiver.</w:t>
      </w:r>
    </w:p>
    <w:p>
      <w:r>
        <w:t>FR-103: The leasing module calculates mineral royalty costs for hydrothermal claims.</w:t>
      </w:r>
    </w:p>
    <w:p>
      <w:r>
        <w:t>FR-104: The pressure monitor detects hydrothermal vent surge anomalies and executes relief valve depressurization.</w:t>
      </w:r>
    </w:p>
    <w:p>
      <w:r>
        <w:t>FR-105: The ballast controller computes buoyancy water displacement vectors to hold target depth.</w:t>
      </w:r>
    </w:p>
    <w:p>
      <w:r>
        <w:t>FR-106: The audit manager archives mineral extraction events and exports environmental compliance certificates.</w:t>
      </w:r>
    </w:p>
    <w:p>
      <w:r>
        <w:t>FR-107: The sonar receiver shall identify and discard duplicate sonar ping packet identifiers from buffer.</w:t>
      </w:r>
    </w:p>
    <w:p>
      <w:r>
        <w:t>FR-108: Pilot login PINs shall be stored using reversible Caesar cipher obfuscation.</w:t>
      </w:r>
    </w:p>
    <w:p>
      <w:r>
        <w:t>NFR-101: Acoustic telemetry response latency must remain under 250 milliseconds during thermal plume turbulence.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