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Design Document — AquaForge Subsystems</w:t>
      </w:r>
    </w:p>
    <w:p>
      <w:r>
        <w:t>FS-201: Acoustic modem transceiver transmits subsea telemetry packets.</w:t>
      </w:r>
    </w:p>
    <w:p>
      <w:r>
        <w:t>FS-202: Vent relief valve actuator engages depressurization bypass during pressure surge.</w:t>
      </w:r>
    </w:p>
    <w:p>
      <w:r>
        <w:t>FS-203: Ballast solver computes water displacement tank ballast levels.</w:t>
      </w:r>
    </w:p>
    <w:p>
      <w:r>
        <w:t>FS-204: Compliance export utility packages encrypted extraction records and receipts.</w:t>
      </w:r>
    </w:p>
    <w:p>
      <w:r>
        <w:t>FS-205: Sonar ring buffer drops redundant ping packet identifiers.</w:t>
      </w:r>
    </w:p>
    <w:p>
      <w:r>
        <w:t>FS-206: Pilot login credentials must be hashed with Argon2id and never stored reversibly.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