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Cases — AquaForge Test Suite</w:t>
      </w:r>
    </w:p>
    <w:p>
      <w:r>
        <w:t>TC-401: Verify acoustic status icon renders on bridge dashboard.</w:t>
      </w:r>
    </w:p>
    <w:p>
      <w:r>
        <w:t>TC-402: Verify acoustic modem broadcasts depth coordinates and vessel receives packet.</w:t>
      </w:r>
    </w:p>
    <w:p>
      <w:r>
        <w:t>TC-403: Verify vent relief valve depressurizes when surge pressure exceeds threshold.</w:t>
      </w:r>
    </w:p>
    <w:p>
      <w:r>
        <w:t>TC-404: Verify duplicate sonar packet identifiers are discarded from buffer.</w:t>
      </w:r>
    </w:p>
    <w:p>
      <w:r>
        <w:t>TC-410: Verify mess hall microwave oven heats breakfast 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