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Review Meeting Minutes — AquaForge Platform</w:t>
      </w:r>
    </w:p>
    <w:p>
      <w:r>
        <w:t>DEC-601: Committee confirmed and approved acoustic transmission baud rate increase to 2400 bps.</w:t>
      </w:r>
    </w:p>
    <w:p>
      <w:r>
        <w:t>DEC-602: Discussed subsea titanium hull thickness standards but no consensus was reached.</w:t>
      </w:r>
    </w:p>
    <w:p>
      <w:r>
        <w:t>DEC-607: Decided to purchase ergonomic chairs for oceanographic survey laboratory.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