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BioTrack Specimen Management</w:t>
      </w:r>
    </w:p>
    <w:p>
      <w:r>
        <w:t>FR-101: The chain-of-custody service shall record timestamped specimen transfers between courier personnel and bio-repository technicians.</w:t>
      </w:r>
    </w:p>
    <w:p>
      <w:r>
        <w:t>FR-102: The telemetry ingestion engine shall stream temperature readings from IoT freezer sensors and trigger alert notifications on threshold excursions.</w:t>
      </w:r>
    </w:p>
    <w:p>
      <w:r>
        <w:t>FR-103: The sample quarantine module shall allow QA staff to transition sample status to QUARANTINED and block aliquoting operations.</w:t>
      </w:r>
    </w:p>
    <w:p>
      <w:r>
        <w:t>FR-104: The courier dispatch service shall allow lab staff to withdraw pending courier collection requests.</w:t>
      </w:r>
    </w:p>
    <w:p>
      <w:r>
        <w:t>FR-105: The sample viability engine shall compute specimen degradation risk using cumulative thermal exposure hours and thaw cycles.</w:t>
      </w:r>
    </w:p>
    <w:p>
      <w:r>
        <w:t>FR-106: The barcode intake service shall detect and block duplicate specimen identification barcodes during initial sample accessioning.</w:t>
      </w:r>
    </w:p>
    <w:p>
      <w:r>
        <w:t>FR-107: The audit logging service shall store an immutable queryable history of specimen status changes with FDA 21 CFR Part 11 electronic signatures.</w:t>
      </w:r>
    </w:p>
    <w:p>
      <w:r>
        <w:t>FR-108: The security engine shall enforce RBAC boundaries preventing clinical nurses from approving bio-repository sample disposal orders.</w:t>
      </w:r>
    </w:p>
    <w:p>
      <w:r>
        <w:t>FR-109: Technician passwords shall be stored using reversible ROT13 encryption so that supervisors can assist locked-out operators.</w:t>
      </w:r>
    </w:p>
    <w:p>
      <w:r>
        <w:t>FR-110: The deviation reporting module shall allow clinical staff to file protocol deviation reports and attach temperature log exports.</w:t>
      </w:r>
    </w:p>
    <w:p>
      <w:r>
        <w:t>NFR-101: The specimen lookup REST API shall return sample location and thermal history within 250 milliseconds under 500 concurrent queries.</w:t>
      </w:r>
    </w:p>
    <w:p>
      <w:r>
        <w:t>NFR-102: The bio-specimen tracking database shall maintain 99.99% high availability with continuous multi-region replication.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