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BioTrack Specimen Management</w:t>
      </w:r>
    </w:p>
    <w:p>
      <w:r>
        <w:t>CR-501: Enhance FR-102 to support wireless Bluetooth Low Energy cryogenic temperature data loggers in transit shipping containers.</w:t>
      </w:r>
    </w:p>
    <w:p>
      <w:r>
        <w:t>CR-502: Modify FR-109 to prohibit reversible ROT13 encryption and mandate salted Argon2id password hashing across all lab workstations.</w:t>
      </w:r>
    </w:p>
    <w:p>
      <w:r>
        <w:t>CR-503: Extend FR-105 to calculate sample degradation for liquid nitrogen vapor phase storage at minus 150 degrees Celsius.</w:t>
      </w:r>
    </w:p>
    <w:p>
      <w:r>
        <w:t>CR-504: Enhance FR-104 to support automated SMS notifications to courier drivers when scheduled collection is cancelled.</w:t>
      </w:r>
    </w:p>
    <w:p>
      <w:r>
        <w:t>CR-505: Update FS-203 to support partial quarantine allowing non-destructive imaging while blocking destructive PCR extraction.</w:t>
      </w:r>
    </w:p>
    <w:p>
      <w:r>
        <w:t>CR-506: Procure and install 50 motorized ergonomic sit-stand desks for bio-repository technicians.</w:t>
      </w:r>
    </w:p>
    <w:p>
      <w:r>
        <w:t>CR-507: Add cafeteria weekly lunch meal ordering module for clinical research staff.</w:t>
      </w:r>
    </w:p>
    <w:p>
      <w:r>
        <w:t>CR-508: Add patient carbon footprint tracking dashboard based on clinical trial travel miles.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