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BioTrack Specimen Management</w:t>
      </w:r>
    </w:p>
    <w:p>
      <w:r>
        <w:t>DEC-601: Architecture committee confirmed that FR-106 duplicate barcode prevention must query Redis distributed locks during scanning.</w:t>
      </w:r>
    </w:p>
    <w:p>
      <w:r>
        <w:t>DEC-602: Security officer confirmed that FR-109 reversible ROT13 encryption violates FDA 21 CFR Part 11 and must be replaced.</w:t>
      </w:r>
    </w:p>
    <w:p>
      <w:r>
        <w:t>DEC-603: Lab committee discussed automated drone delivery of bio-specimens between hospital towers but safety protocols were not decided.</w:t>
      </w:r>
    </w:p>
    <w:p>
      <w:r>
        <w:t>DEC-604: Compliance director confirmed that FR-107 specimen audit trail logs must be retained for 25 years per FDA regulations.</w:t>
      </w:r>
    </w:p>
    <w:p>
      <w:r>
        <w:t>DEC-605: Ethics board confirmed that FR-108 dual-authorization rules must be enforced before disposing of patient genetic tissue samples.</w:t>
      </w:r>
    </w:p>
    <w:p>
      <w:r>
        <w:t>DEC-606: QA team agreed that TC-409 load tests must benchmark 500 concurrent queries on staging cluster before production rollout.</w:t>
      </w:r>
    </w:p>
    <w:p>
      <w:r>
        <w:t>DEC-607: Operations director decided to procure 50 motorized standing desks for specimen preparation workstations.</w:t>
      </w:r>
    </w:p>
    <w:p>
      <w:r>
        <w:t>DEC-608: Product team discussed quantum-resistant cryptographic signatures for audit logs but technical feasibility review is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