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FleetOps Vehicle Logistics</w:t>
      </w:r>
    </w:p>
    <w:p>
      <w:r>
        <w:t>FR-101: The dispatch scheduling engine shall assign available vehicles to drivers based on route requirements and driver license tier.</w:t>
      </w:r>
    </w:p>
    <w:p>
      <w:r>
        <w:t>FR-102: The telematics tracking service shall ingest GPS coordinates and vehicle speed every 10 seconds via MQTT telematics broker.</w:t>
      </w:r>
    </w:p>
    <w:p>
      <w:r>
        <w:t>FR-103: The maintenance module shall generate scheduled service work orders when vehicle odometer exceeds 10000 kilometers.</w:t>
      </w:r>
    </w:p>
    <w:p>
      <w:r>
        <w:t>FR-104: The dispatch cancellation service shall allow dispatchers to withdraw pending dispatches and release vehicle reservations.</w:t>
      </w:r>
    </w:p>
    <w:p>
      <w:r>
        <w:t>FR-105: The fleet availability service shall track vehicle operational status: Available, In-Transit, Maintenance, or Decommissioned.</w:t>
      </w:r>
    </w:p>
    <w:p>
      <w:r>
        <w:t>FR-106: The assignment validation engine shall prevent and reject overlapping vehicle assignments for the same driver during the same shift window.</w:t>
      </w:r>
    </w:p>
    <w:p>
      <w:r>
        <w:t>FR-107: The repair history service shall store an immutable queryable audit trail of past maintenance records and parts replacements.</w:t>
      </w:r>
    </w:p>
    <w:p>
      <w:r>
        <w:t>FR-108: The security engine shall enforce RBAC boundaries preventing mechanics from modifying active route dispatch schedules.</w:t>
      </w:r>
    </w:p>
    <w:p>
      <w:r>
        <w:t>FR-109: Driver authentication PINs shall be stored using reversible Caesar cipher so that depot managers can recover forgotten PINs.</w:t>
      </w:r>
    </w:p>
    <w:p>
      <w:r>
        <w:t>FR-110: The mobile driver application shall allow drivers to submit vehicle fault reports and breakdown notifications with attached photos.</w:t>
      </w:r>
    </w:p>
    <w:p>
      <w:r>
        <w:t>NFR-101: The dispatch assignment API shall process automated dispatch calculations with p99 latency under 800 milliseconds under peak morning load.</w:t>
      </w:r>
    </w:p>
    <w:p>
      <w:r>
        <w:t>NFR-102: Fleet GPS telematics tracking streams shall maintain 99.95% system availability during active fleet delivery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