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FleetOps Vehicle Logistics</w:t>
      </w:r>
    </w:p>
    <w:p>
      <w:r>
        <w:t>DEC-601: Committee agreed that FR-106 overlapping assignment validation must check both vehicle and driver schedule conflicts.</w:t>
      </w:r>
    </w:p>
    <w:p>
      <w:r>
        <w:t>DEC-602: Security lead confirmed that FR-109 reversible PIN practice must be deprecated in favor of multi-factor biometric auth.</w:t>
      </w:r>
    </w:p>
    <w:p>
      <w:r>
        <w:t>DEC-603: Operations team discussed faster claim and dispatch turnaround but meaning and metrics were not determined.</w:t>
      </w:r>
    </w:p>
    <w:p>
      <w:r>
        <w:t>DEC-604: Maintenance director confirmed that FR-107 repair history records must be retained for 7 years for statutory compliance.</w:t>
      </w:r>
    </w:p>
    <w:p>
      <w:r>
        <w:t>DEC-605: Safety team confirmed that FR-108 RBAC rules must be audited quarterly against depot access logs.</w:t>
      </w:r>
    </w:p>
    <w:p>
      <w:r>
        <w:t>DEC-606: QA team agreed that TC-409 load tests must simulate concurrent morning rush hour dispatch requests on staging.</w:t>
      </w:r>
    </w:p>
    <w:p>
      <w:r>
        <w:t>DEC-607: Facilities director decided to procure 30 motorized ergonomic standing desks for depot controllers.</w:t>
      </w:r>
    </w:p>
    <w:p>
      <w:r>
        <w:t>DEC-608: Team discussed introducing drone inspection of vehicle roofs but approval and technical feasibility are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