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AgriGrid Smart Irrigation</w:t>
      </w:r>
    </w:p>
    <w:p>
      <w:r>
        <w:t>FR-101: The irrigation controller service shall actuate solenoid water valves when soil volumetric water content drops below 18 percent.</w:t>
      </w:r>
    </w:p>
    <w:p>
      <w:r>
        <w:t>FR-102: The meteorological ingestion service shall query radar precipitation APIs and defer active irrigation schedules by 24 hours.</w:t>
      </w:r>
    </w:p>
    <w:p>
      <w:r>
        <w:t>FR-103: The pump emergency shutdown module shall allow agronomists to transition pump status to EMERGENCY_STOP and depressurize mainlines.</w:t>
      </w:r>
    </w:p>
    <w:p>
      <w:r>
        <w:t>FR-104: The fertigation cancellation service shall allow farm operators to withdraw pending chemical nutrient injection cycles.</w:t>
      </w:r>
    </w:p>
    <w:p>
      <w:r>
        <w:t>FR-105: The soil nutrient model shall compute projected NPK consumption curves using thermal degree day accumulations and crop canopy size.</w:t>
      </w:r>
    </w:p>
    <w:p>
      <w:r>
        <w:t>FR-106: The telemetry ingestion engine shall detect and block duplicate sensor packets sharing identical device ID and sequence counter.</w:t>
      </w:r>
    </w:p>
    <w:p>
      <w:r>
        <w:t>FR-107: The spray audit service shall store an immutable queryable history of chemical spray approvals with GPS field boundary polygons.</w:t>
      </w:r>
    </w:p>
    <w:p>
      <w:r>
        <w:t>FR-108: The security engine shall enforce RBAC boundaries preventing irrigation technicians from authorizing restricted pesticide applications.</w:t>
      </w:r>
    </w:p>
    <w:p>
      <w:r>
        <w:t>FR-109: Agronomist portal passwords shall be stored using reversible Caesar encryption so that field supervisors can recover forgotten credentials.</w:t>
      </w:r>
    </w:p>
    <w:p>
      <w:r>
        <w:t>FR-110: The soil anomaly module shall allow field technicians to submit soil contamination incident tickets and attach drone multispectral photo exports.</w:t>
      </w:r>
    </w:p>
    <w:p>
      <w:r>
        <w:t>NFR-101: The field valve telemetry API shall dispatch actuator trigger commands within 300 milliseconds under 2000 concurrent sector events.</w:t>
      </w:r>
    </w:p>
    <w:p>
      <w:r>
        <w:t>NFR-102: The central farm management platform shall maintain 99.95% uptime during peak seasonal planting and harvest quarters.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