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AgriGrid Smart Irrigation</w:t>
      </w:r>
    </w:p>
    <w:p>
      <w:r>
        <w:t>CR-501: Enhance FR-102 to ingest hyper-local on-farm acoustic disdrometer rain sensors in addition to regional radar APIs.</w:t>
      </w:r>
    </w:p>
    <w:p>
      <w:r>
        <w:t>CR-502: Modify FR-109 to prohibit reversible Caesar encryption and mandate salted Argon2id password hashing across all farm tablets.</w:t>
      </w:r>
    </w:p>
    <w:p>
      <w:r>
        <w:t>CR-503: Extend FR-105 to calculate soil micronutrient depletion for zinc, iron, and boron in commercial apple orchards.</w:t>
      </w:r>
    </w:p>
    <w:p>
      <w:r>
        <w:t>CR-504: Enhance FR-104 to support automated SMS notifications to field tractor operators when scheduled fertigation is aborted.</w:t>
      </w:r>
    </w:p>
    <w:p>
      <w:r>
        <w:t>CR-505: Update FS-203 to support partial sector isolation allowing drip zones to operate while emergency stopping pivot sprinklers.</w:t>
      </w:r>
    </w:p>
    <w:p>
      <w:r>
        <w:t>CR-506: Procure and install 30 motorized ergonomic sit-stand desks for farm dispatch operations center.</w:t>
      </w:r>
    </w:p>
    <w:p>
      <w:r>
        <w:t>CR-507: Add cafeteria hot lunch weekly ordering module for greenhouse harvest staff.</w:t>
      </w:r>
    </w:p>
    <w:p>
      <w:r>
        <w:t>CR-508: Add farm tractor carbon emission calculation dashboard based on diesel fuel consumption.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