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AgriGrid Smart Irrigation</w:t>
      </w:r>
    </w:p>
    <w:p>
      <w:r>
        <w:t>DEC-601: Engineering committee agreed that FR-106 sensor deduplication must check telemetry sequence counters in Redis cache.</w:t>
      </w:r>
    </w:p>
    <w:p>
      <w:r>
        <w:t>DEC-602: Security officer confirmed that FR-109 reversible Caesar encryption violates farm cybersecurity standards and must be replaced.</w:t>
      </w:r>
    </w:p>
    <w:p>
      <w:r>
        <w:t>DEC-603: Agronomy team discussed autonomous crop-dusting drone swarm flight paths but regulatory airspace approval was not determined.</w:t>
      </w:r>
    </w:p>
    <w:p>
      <w:r>
        <w:t>DEC-604: Compliance director confirmed that FR-107 chemical spray audit logs must be retained for 15 years per Department of Agriculture rules.</w:t>
      </w:r>
    </w:p>
    <w:p>
      <w:r>
        <w:t>DEC-605: Safety committee confirmed that FR-108 dual-authorization rules must be enforced before applying restricted organophosphate pesticides.</w:t>
      </w:r>
    </w:p>
    <w:p>
      <w:r>
        <w:t>DEC-606: QA lead agreed that TC-409 load tests must benchmark 2000 concurrent valve events on staging environment before deployment.</w:t>
      </w:r>
    </w:p>
    <w:p>
      <w:r>
        <w:t>DEC-607: Operations director decided to procure 30 motorized standing desks for irrigation control room staff.</w:t>
      </w:r>
    </w:p>
    <w:p>
      <w:r>
        <w:t>DEC-608: Tech committee discussed quantum sensor magnetometers for deep root water sensing but feasibility research is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