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Hospital Patient Management System</w:t>
      </w:r>
    </w:p>
    <w:p>
      <w:r>
        <w:t>FR-101: The system shall provide a patient registration interface supporting demographic data entry, insurance provider lookup, and medical history upload for new and existing patients.</w:t>
      </w:r>
    </w:p>
    <w:p>
      <w:r>
        <w:t>FR-102: The scheduling module shall allow patients to book appointments with physicians, select clinic departments, view available time slots, and receive confirmation within 30 seconds.</w:t>
      </w:r>
    </w:p>
    <w:p>
      <w:r>
        <w:t>FR-103: Physicians shall create and manage digital prescriptions including medication name, dosage, frequency, and duration; discontinued prescriptions shall be archived with reason.</w:t>
      </w:r>
    </w:p>
    <w:p>
      <w:r>
        <w:t>FR-104: Authorized users shall retrieve lab results, radiology reports, and pathology findings via a secure HTTPS portal with PDF download capability.</w:t>
      </w:r>
    </w:p>
    <w:p>
      <w:r>
        <w:t>FR-105: Patient credential storage shall use reversible encryption so that hospital administrators can recover original passwords when patients are locked out of the portal.</w:t>
      </w:r>
    </w:p>
    <w:p>
      <w:r>
        <w:t>FR-106: The notification service shall dispatch appointment reminders, medication alerts, and post-discharge care instructions via email and SMS to registered patient contacts.</w:t>
      </w:r>
    </w:p>
    <w:p>
      <w:r>
        <w:t>FR-107: The billing engine shall generate itemized patient invoices listing each procedure, medication, and consultation fee, and shall submit electronic claims to insurance providers.</w:t>
      </w:r>
    </w:p>
    <w:p>
      <w:r>
        <w:t>FR-108: The access control module shall enforce role-based permissions preventing nurses from accessing physician prescription records and restricting patient access to their own records only.</w:t>
      </w:r>
    </w:p>
    <w:p>
      <w:r>
        <w:t>FR-109: The audit logging service shall write an immutable timestamped record for every read, create, update, and delete operation on patient health records, stored in a separate audit table.</w:t>
      </w:r>
    </w:p>
    <w:p>
      <w:r>
        <w:t>FR-110: The system shall support a minimum of 500 concurrent authenticated users during peak morning admission hours without degradation of response time beyond 2 seconds.</w:t>
      </w:r>
    </w:p>
    <w:p>
      <w:r>
        <w:t>NFR-101: The system shall comply with HIPAA regulations for protected health information (PHI) storage, transmission, and access control.</w:t>
      </w:r>
    </w:p>
    <w:p>
      <w:r>
        <w:t>NFR-102: The system shall maintain 99.9% uptime availability, excluding scheduled maintenance windows of maximum 4 hours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