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Document — Hospital Patient Management System</w:t>
      </w:r>
    </w:p>
    <w:p>
      <w:r>
        <w:t>FS-201: Implement a patient registration REST API endpoint accepting demographic JSON payload; validate insurance provider against external claims API; store result in patient_registry table with encrypted PII fields.</w:t>
      </w:r>
    </w:p>
    <w:p>
      <w:r>
        <w:t>FS-202: Implement appointment scheduling service with PostgreSQL-backed availability calendar; enforce physician daily appointment limits; return confirmation token and notify patient via email within 30 seconds of booking.</w:t>
      </w:r>
    </w:p>
    <w:p>
      <w:r>
        <w:t>FS-203: Implement digital prescription management module with RESTful CRUD endpoints; prescriptions table with medication_name, dosage, frequency, duration, status, prescribing_physician_id; archive discontinued prescriptions with discontinuation_reason.</w:t>
      </w:r>
    </w:p>
    <w:p>
      <w:r>
        <w:t>FS-204: Implement lab results portal with secure JWT-authenticated GET endpoints; results fetched from lab_results table; PDF generation via reportlab; HTTPS-only transmission.</w:t>
      </w:r>
    </w:p>
    <w:p>
      <w:r>
        <w:t>FS-205: Patient passwords shall be stored using bcrypt salted one-way hashing. No plaintext or reversible credential storage is permitted. Password recovery shall use time-limited reset tokens sent to verified email addresses.</w:t>
      </w:r>
    </w:p>
    <w:p>
      <w:r>
        <w:t>FS-206: Implement notification dispatcher service supporting SMTP email and Twilio SMS channels; queue-based delivery with retry for appointment reminders, medication alerts, and discharge instructions.</w:t>
      </w:r>
    </w:p>
    <w:p>
      <w:r>
        <w:t>FS-207: Implement billing engine generating PDF itemized invoices; integrate with CMS-1500 electronic claim format for insurance submission; store invoice records in billing_records table.</w:t>
      </w:r>
    </w:p>
    <w:p>
      <w:r>
        <w:t>FS-208: Implement RBAC middleware validating JWT claims against role_permissions matrix; role hierarchy: Administrator &gt; Physician &gt; Nurse &gt; Patient; route-level permission guards with 403 response for unauthorized access.</w:t>
      </w:r>
    </w:p>
    <w:p>
      <w:r>
        <w:t>FS-209: Implement audit_log PostgreSQL table with immutable append-only interceptor; log fields: user_id, role, action_type, entity_id, entity_type, timestamp, ip_address; no UPDATE or DELETE permitted on audit_log.</w:t>
      </w:r>
    </w:p>
    <w:p>
      <w:r>
        <w:t>FS-210: Implement horizontal auto-scaling via Kubernetes HPA; load balancer distributes across minimum 3 pod replicas; performance test at 500 concurrent users with p95 response time target of 2 seconds.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