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Hospital Patient Management System</w:t>
      </w:r>
    </w:p>
    <w:p>
      <w:r>
        <w:t>CR-501: Enhance FR-101 to support biometric patient identification (fingerprint scan) at registration kiosks in addition to online demographic form submission.</w:t>
      </w:r>
    </w:p>
    <w:p>
      <w:r>
        <w:t>CR-502: Modify FR-105 to align with HIPAA-compliant credential storage: require salted bcrypt hashing and prohibit reversible encryption for patient passwords.</w:t>
      </w:r>
    </w:p>
    <w:p>
      <w:r>
        <w:t>CR-503: Update FR-108 to add a new 'Radiologist' role with read-only access to imaging records and lab results, without access to billing or prescription data.</w:t>
      </w:r>
    </w:p>
    <w:p>
      <w:r>
        <w:t>CR-504: Extend FR-110 to support 2000 concurrent authenticated users during annual health camp peak periods by upgrading Kubernetes cluster scaling policy.</w:t>
      </w:r>
    </w:p>
    <w:p>
      <w:r>
        <w:t>CR-505: Update FS-204 to add real-time lab result push notifications when results are published, in addition to the existing portal retrieval mechanism.</w:t>
      </w:r>
    </w:p>
    <w:p>
      <w:r>
        <w:t>CR-506: Install a new cafeteria scheduling system in the hospital canteen to manage staff meal bookings and dietary preferences — this is a separate non-clinical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