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 — Hospital Patient Management System</w:t>
      </w:r>
    </w:p>
    <w:p>
      <w:r>
        <w:t>DEC-601: Team agreed that FR-101 patient registration must support both web browser and mobile app interfaces to improve patient onboarding rates.</w:t>
      </w:r>
    </w:p>
    <w:p>
      <w:r>
        <w:t>DEC-602: Security team decided that FR-105 credential handling must be reviewed by the compliance officer before FR-105 is implemented in any test environment.</w:t>
      </w:r>
    </w:p>
    <w:p>
      <w:r>
        <w:t>DEC-603: Architecture team decided that FR-109 audit logging must use a dedicated append-only PostgreSQL schema to prevent tampering and meet HIPAA audit requirements.</w:t>
      </w:r>
    </w:p>
    <w:p>
      <w:r>
        <w:t>DEC-604: Product team confirmed that FR-106 notification delivery must support international SMS via Twilio for patients registered with non-local phone numbers.</w:t>
      </w:r>
    </w:p>
    <w:p>
      <w:r>
        <w:t>DEC-605: Development team agreed to prioritize FR-102 appointment scheduling in Sprint 3 as it is a dependency for FR-106 reminder notifications.</w:t>
      </w:r>
    </w:p>
    <w:p>
      <w:r>
        <w:t>DEC-606: QA team agreed that TC-405 credential storage test must be executed on a staging environment with a sanitized patient dataset, not production data.</w:t>
      </w:r>
    </w:p>
    <w:p>
      <w:r>
        <w:t>DEC-607: Facilities team decided to procure 200 new ergonomic chairs and adjustable desks for the physician ward renovation — this is a physical facilities decision unrelated to the software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