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FinVault Core Banking</w:t>
      </w:r>
    </w:p>
    <w:p>
      <w:r>
        <w:t>BR-001: The FinVault core banking platform shall maintain an immutable double-entry ledger for customer deposit accounts.</w:t>
      </w:r>
    </w:p>
    <w:p>
      <w:r>
        <w:t>BR-002: The system shall process real-time domestic interbank wire payments and automated clearing house transfers.</w:t>
      </w:r>
    </w:p>
    <w:p>
      <w:r>
        <w:t>BR-003: Bank customer service representatives shall be able to place temporary debit holds on suspicious accounts.</w:t>
      </w:r>
    </w:p>
    <w:p>
      <w:r>
        <w:t>BR-004: Customers shall be able to cancel or withdraw a scheduled future recurring bill payment before daily batch cutoff.</w:t>
      </w:r>
    </w:p>
    <w:p>
      <w:r>
        <w:t>BR-005: The banking platform shall calculate daily compound interest accruals on high-yield savings accounts.</w:t>
      </w:r>
    </w:p>
    <w:p>
      <w:r>
        <w:t>BR-006: The platform shall automatically detect and prevent duplicate payment transactions within a 60-second window.</w:t>
      </w:r>
    </w:p>
    <w:p>
      <w:r>
        <w:t>BR-007: Treasury officers shall maintain an immutable chronological audit trail of all manual ledger journal adjustments.</w:t>
      </w:r>
    </w:p>
    <w:p>
      <w:r>
        <w:t>BR-008: Role-based authorization shall enforce strict four-eyes compliance separation between loan underwriters and fund cashiers.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