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FinVault Core Banking</w:t>
      </w:r>
    </w:p>
    <w:p>
      <w:r>
        <w:t>FR-101: The core ledger service shall record balanced debits and credits across customer deposit and bank liability accounts.</w:t>
      </w:r>
    </w:p>
    <w:p>
      <w:r>
        <w:t>FR-102: The payment gateway engine shall ingest ISO 20022 wire messages and dispatch settlement notifications to Federal Reserve.</w:t>
      </w:r>
    </w:p>
    <w:p>
      <w:r>
        <w:t>FR-103: The account hold module shall allow compliance staff to place administrative debit freezes on customer checking accounts.</w:t>
      </w:r>
    </w:p>
    <w:p>
      <w:r>
        <w:t>FR-104: The scheduled payment cancellation service shall allow customers to withdraw pending scheduled bill payments.</w:t>
      </w:r>
    </w:p>
    <w:p>
      <w:r>
        <w:t>FR-105: The interest computation engine shall calculate daily savings interest based on annualized percentage yield APY tiers.</w:t>
      </w:r>
    </w:p>
    <w:p>
      <w:r>
        <w:t>FR-106: The transaction validation engine shall detect and block duplicate payment requests sharing identical amount and reference.</w:t>
      </w:r>
    </w:p>
    <w:p>
      <w:r>
        <w:t>FR-107: The ledger audit service shall store an immutable queryable audit log of manual journal entries and supervisor approvals.</w:t>
      </w:r>
    </w:p>
    <w:p>
      <w:r>
        <w:t>FR-108: The security engine shall enforce RBAC boundaries preventing branch tellers from approving credit limit increases.</w:t>
      </w:r>
    </w:p>
    <w:p>
      <w:r>
        <w:t>FR-109: Customer account passwords shall be stored using reversible DES encryption so that phone bankers can assist forgotten callers.</w:t>
      </w:r>
    </w:p>
    <w:p>
      <w:r>
        <w:t>FR-110: The dispute resolution module shall allow customers to submit transaction dispute claims and upload merchant receipts.</w:t>
      </w:r>
    </w:p>
    <w:p>
      <w:r>
        <w:t>NFR-101: The core ledger posting API shall achieve p99 transaction write latency under 50 milliseconds under 10000 concurrent TPS.</w:t>
      </w:r>
    </w:p>
    <w:p>
      <w:r>
        <w:t>NFR-102: Core banking settlement ledger services shall maintain 99.999% high availability with zero data loss RPO.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