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Change Requests — FinVault Core Banking</w:t>
      </w:r>
    </w:p>
    <w:p>
      <w:r>
        <w:t>CR-501: Enhance FR-102 to support FedNow instant 24/7 payment settlement rail in addition to traditional wire transfers.</w:t>
      </w:r>
    </w:p>
    <w:p>
      <w:r>
        <w:t>CR-502: Modify FR-109 to prohibit reversible DES encryption and mandate salted Argon2id password hashing across all channels.</w:t>
      </w:r>
    </w:p>
    <w:p>
      <w:r>
        <w:t>CR-503: Extend FR-105 to support tiered interest rates for high-net-worth commercial treasury balances exceeding 5 million dollars.</w:t>
      </w:r>
    </w:p>
    <w:p>
      <w:r>
        <w:t>CR-504: Enhance FR-104 to support automated SMS and email notifications to account holders when scheduled payment is cancelled.</w:t>
      </w:r>
    </w:p>
    <w:p>
      <w:r>
        <w:t>CR-505: Update FS-203 to support partial debit holds allowing recurring utility debits while freezing external wire transfers.</w:t>
      </w:r>
    </w:p>
    <w:p>
      <w:r>
        <w:t>CR-506: Add instant biometric iris scanning authentication module for ATM cash withdrawal kiosks.</w:t>
      </w:r>
    </w:p>
    <w:p>
      <w:r>
        <w:t>CR-507: Procure and install 40 ergonomic motorized sit-stand desks for treasury operations trading floor.</w:t>
      </w:r>
    </w:p>
    <w:p>
      <w:r>
        <w:t>CR-508: Add retail customer carbon footprint scoring dashboard based on debit card merchant categories.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