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FinVault Core Banking</w:t>
      </w:r>
    </w:p>
    <w:p>
      <w:r>
        <w:t>DEC-601: Architecture committee agreed that FR-106 duplicate payment prevention must check idempotency keys in Redis cache.</w:t>
      </w:r>
    </w:p>
    <w:p>
      <w:r>
        <w:t>DEC-602: Security officer confirmed that FR-109 reversible DES encryption is a severe compliance violation and must be replaced.</w:t>
      </w:r>
    </w:p>
    <w:p>
      <w:r>
        <w:t>DEC-603: Risk committee discussed automated crypto trading arbitrage but regulatory approval and scope were not determined.</w:t>
      </w:r>
    </w:p>
    <w:p>
      <w:r>
        <w:t>DEC-604: Compliance director confirmed that FR-107 historical ledger audit trails must be retained for 10 years for SEC compliance.</w:t>
      </w:r>
    </w:p>
    <w:p>
      <w:r>
        <w:t>DEC-605: Audit committee confirmed that FR-108 RBAC dual-control rules must be enforced for all wire transfers exceeding 50000 dollars.</w:t>
      </w:r>
    </w:p>
    <w:p>
      <w:r>
        <w:t>DEC-606: QA team agreed that TC-409 load tests must benchmark 10000 TPS on AWS staging cluster before production rollout.</w:t>
      </w:r>
    </w:p>
    <w:p>
      <w:r>
        <w:t>DEC-607: Operations director decided to procure 40 ergonomic sit-stand motorized desks for treasury settlement staff.</w:t>
      </w:r>
    </w:p>
    <w:p>
      <w:r>
        <w:t>DEC-608: Product team discussed quantum-resistant encryption algorithms but technical feasibility review is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