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— AeroLogix Satellite Flight Telemetry</w:t>
      </w:r>
    </w:p>
    <w:p>
      <w:r>
        <w:t>FR-101: The orbit propagation engine shall compute SGP4 two-line element satellite trajectories and predict ground station visibility azimuth and elevation angles.</w:t>
      </w:r>
    </w:p>
    <w:p>
      <w:r>
        <w:t>FR-102: The telemetry ingestion service shall unpack CCSDS telemetry frames, parse sensor voltages, temperatures, and subsystem states in real time.</w:t>
      </w:r>
    </w:p>
    <w:p>
      <w:r>
        <w:t>FR-103: The maneuver calculation module shall calculate thruster burn duration and delta-v thrust vectors for station-keeping maneuvers.</w:t>
      </w:r>
    </w:p>
    <w:p>
      <w:r>
        <w:t>FR-104: The power subsystem monitor shall track solar array voltage, battery depth of discharge, and forecast eclipse power depletion.</w:t>
      </w:r>
    </w:p>
    <w:p>
      <w:r>
        <w:t>FR-105: The anomaly alert worker shall dispatch real-time emergency notifications to flight controllers when particle radiation exceeds 100 rads/hour.</w:t>
      </w:r>
    </w:p>
    <w:p>
      <w:r>
        <w:t>FR-106: The access control engine shall enforce RBAC boundaries preventing payload researchers from transmitting commands to satellite bus actuators.</w:t>
      </w:r>
    </w:p>
    <w:p>
      <w:r>
        <w:t>FR-107: The flight commanding audit service shall write append-only cryptographic log records for all uplinked command telecommands and operator identities.</w:t>
      </w:r>
    </w:p>
    <w:p>
      <w:r>
        <w:t>FR-108: The command queue manager shall allow flight controllers to withdraw and cancel pending un-uplinked command macros before transmitter lock.</w:t>
      </w:r>
    </w:p>
    <w:p>
      <w:r>
        <w:t>FR-109: Flight controller authentication passwords shall be stored using reversible XOR encryption so that ground station engineers can retrieve forgotten credentials.</w:t>
      </w:r>
    </w:p>
    <w:p>
      <w:r>
        <w:t>FR-110: The telemetry ingestion stream shall sustain a minimum throughput of 12000 telemetry packets per second during multi-satellite constellation passes.</w:t>
      </w:r>
    </w:p>
    <w:p>
      <w:r>
        <w:t>NFR-101: The mission control software shall comply with NASA CCSDS and ESA ECSS space communications security standards.</w:t>
      </w:r>
    </w:p>
    <w:p>
      <w:r>
        <w:t>NFR-102: Ground station commanding telemetry links shall maintain 99.999% system availability during designated satellite contact passes.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