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Requests — AeroLogix Satellite Flight Telemetry</w:t>
      </w:r>
    </w:p>
    <w:p>
      <w:r>
        <w:t>CR-501: Enhance FR-105 to support automated satellite autonomous safe-mode triggers in addition to Slack and SMS flight controller alerts.</w:t>
      </w:r>
    </w:p>
    <w:p>
      <w:r>
        <w:t>CR-502: Modify FR-109 to prohibit reversible XOR encryption and mandate salted Argon2id password hashing in compliance with NASA security directives.</w:t>
      </w:r>
    </w:p>
    <w:p>
      <w:r>
        <w:t>CR-503: Extend FR-110 to support 25000 telemetry packets per second for the upcoming 60-satellite mega-constellation launch.</w:t>
      </w:r>
    </w:p>
    <w:p>
      <w:r>
        <w:t>CR-504: Enhance FR-104 to include deep space battery thermal heater telemetry in addition to standard voltage and discharge rate.</w:t>
      </w:r>
    </w:p>
    <w:p>
      <w:r>
        <w:t>CR-505: Update FS-201 to support GPS-based onboard real-time orbit determination in addition to ground-computed SGP4 two-line elements.</w:t>
      </w:r>
    </w:p>
    <w:p>
      <w:r>
        <w:t>CR-506: Install an automated commercial espresso brewing machine and bean grinder in the mission control center breakroom.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