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AeroLogix Satellite Flight Telemetry</w:t>
      </w:r>
    </w:p>
    <w:p>
      <w:r>
        <w:t>DEC-601: Flight operations committee agreed that FR-105 emergency alerts must support automated audio sirens in the mission control room.</w:t>
      </w:r>
    </w:p>
    <w:p>
      <w:r>
        <w:t>DEC-602: Security officer decided that FR-109 reversible password practice must be revoked and replaced with hardware FIDO2 authentication keys.</w:t>
      </w:r>
    </w:p>
    <w:p>
      <w:r>
        <w:t>DEC-603: The engineering team discussed laser optical crosslink bandwidth upgrades but did not define technical specifications or protocols.</w:t>
      </w:r>
    </w:p>
    <w:p>
      <w:r>
        <w:t>DEC-604: Flight director confirmed that FR-107 commanding audit logs must be replicated daily to the off-site space agency cold storage vault.</w:t>
      </w:r>
    </w:p>
    <w:p>
      <w:r>
        <w:t>DEC-605: Ground systems team confirmed that FR-106 RBAC permissions must be verified prior to every satellite contact pass.</w:t>
      </w:r>
    </w:p>
    <w:p>
      <w:r>
        <w:t>DEC-606: QA team agreed that TC-409 telemetry load testing must simulate random packet jitter and corrupted sync words.</w:t>
      </w:r>
    </w:p>
    <w:p>
      <w:r>
        <w:t>DEC-607: Operations facility director decided to procure 30 antistatic ergonomic chairs for satellite flight operations controllers.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