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 Needs — EcoGrid Renewable Energy Management</w:t>
      </w:r>
    </w:p>
    <w:p>
      <w:r>
        <w:t>EG-001: The grid management platform shall ingest and stream real-time photovoltaic solar generation telemetry.</w:t>
      </w:r>
    </w:p>
    <w:p>
      <w:r>
        <w:t>EG-002: The battery dispatch controller shall calculate optimal state-of-charge battery dispatch schedules based on dynamic tariff pricing.</w:t>
      </w:r>
    </w:p>
    <w:p>
      <w:r>
        <w:t>EG-003: The safety subsystem shall execute emergency microgrid islanding disconnect upon grid overvoltage frequency surge.</w:t>
      </w:r>
    </w:p>
    <w:p>
      <w:r>
        <w:t>EG-004: The compliance reporter shall archive renewable energy production logs and download green energy carbon credit certificates.</w:t>
      </w:r>
    </w:p>
    <w:p>
      <w:r>
        <w:t>EG-005: The platform shall authenticate substation grid operators using smartcard biometric credentials.</w:t>
      </w:r>
    </w:p>
    <w:p>
      <w:r>
        <w:t>EG-006: The asset manager shall schedule transformer oil inspection and inverter cooling fan replacement work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