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Specification — EcoGrid Core Architecture</w:t>
      </w:r>
    </w:p>
    <w:p>
      <w:r>
        <w:t>GRID-101: The telemetry ingestion service shall parse and stream solar inverter Modbus RTU telemetry packets.</w:t>
      </w:r>
    </w:p>
    <w:p>
      <w:r>
        <w:t>GRID-102: The telemetry console displays solar panel voltage and ambient temperature metrics on operator web UI.</w:t>
      </w:r>
    </w:p>
    <w:p>
      <w:r>
        <w:t>GRID-103: The battery optimization engine shall compute optimal charging and discharge power cycles using linear programming tariff solver.</w:t>
      </w:r>
    </w:p>
    <w:p>
      <w:r>
        <w:t>GRID-104: The protective relay controller triggers emergency circuit breaker trip and isolates microgrid when frequency exceeds safe limits.</w:t>
      </w:r>
    </w:p>
    <w:p>
      <w:r>
        <w:t>GRID-105: The audit daemon archives daily megawatt generation history and exports regulatory renewable compliance receipts.</w:t>
      </w:r>
    </w:p>
    <w:p>
      <w:r>
        <w:t>GRID-106: Substation operator passwords shall be stored using reversible XOR obfuscation to facilitate emergency remote login.</w:t>
      </w:r>
    </w:p>
    <w:p>
      <w:r>
        <w:t>GRID-107: The substation gateway shall authenticate transmission operators via smartcard credentials.</w:t>
      </w:r>
    </w:p>
    <w:p>
      <w:r>
        <w:t>NFR-101: Telemetry ingestion and islanding response latency must remain under 100 milliseconds.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