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Capabilities — EcoGrid Inverter &amp; Relay Subsystems</w:t>
      </w:r>
    </w:p>
    <w:p>
      <w:r>
        <w:t>INV-201: Modbus RTU parser service decodes active power, reactive power, and phase angle from serial bus telemetry stream.</w:t>
      </w:r>
    </w:p>
    <w:p>
      <w:r>
        <w:t>INV-202: Linear tariff solver computes battery state-of-charge charge/discharge schedule matrix.</w:t>
      </w:r>
    </w:p>
    <w:p>
      <w:r>
        <w:t>INV-203: Automated relay interlock actuates vacuum circuit breaker to isolate islanded microgrid.</w:t>
      </w:r>
    </w:p>
    <w:p>
      <w:r>
        <w:t>INV-204: Carbon export service packages cryptographically signed generation certificates and audit files.</w:t>
      </w:r>
    </w:p>
    <w:p>
      <w:r>
        <w:t>INV-205: Substation operator credentials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