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 - Engineering Change Collection</w:t>
      </w:r>
    </w:p>
    <w:p>
      <w:r>
        <w:t>CR-501: Reduce catalogue search query response time from 2 seconds to 1 second.</w:t>
      </w:r>
    </w:p>
    <w:p>
      <w:r>
        <w:t>CR-502: Enforce Multi-Factor Authentication (MFA) via TOTP for all Librarian and Admin logins.</w:t>
      </w:r>
    </w:p>
    <w:p>
      <w:r>
        <w:t>CR-503: Update payment gateway to support Apple Pay and Google Pay digital wallets.</w:t>
      </w:r>
    </w:p>
    <w:p>
      <w:r>
        <w:t>CR-504: Add multi-format circulation report export to include JSON and XML formats.</w:t>
      </w:r>
    </w:p>
    <w:p>
      <w:r>
        <w:t>CR-505: Add push notifications in addition to email for due date alerts.</w:t>
      </w:r>
    </w:p>
    <w:p>
      <w:r>
        <w:t>CR-507: Replace office printers in administration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