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— QuantumVault KMS</w:t>
      </w:r>
    </w:p>
    <w:p>
      <w:r>
        <w:t>BR-001: The platform shall calculate symmetric HMAC signatures for API request verification.</w:t>
      </w:r>
    </w:p>
    <w:p>
      <w:r>
        <w:t>BR-002: Security officers shall revoke compromised asymmetric private keys.</w:t>
      </w:r>
    </w:p>
    <w:p>
      <w:r>
        <w:t>BR-003: The scheduler shall dispatch rotation jobs for database credentials.</w:t>
      </w:r>
    </w:p>
    <w:p>
      <w:r>
        <w:t>BR-004: The vault shall archive rotated keys and export compliance verification receipts.</w:t>
      </w:r>
    </w:p>
    <w:p>
      <w:r>
        <w:t>BR-005: The platform shall compute entropy health metrics for random number generators.</w:t>
      </w:r>
    </w:p>
    <w:p>
      <w:r>
        <w:t>BR-006: The vault intake shall detect and block duplicate key import requests sharing identical fingerprint hashes.</w:t>
      </w:r>
    </w:p>
    <w:p>
      <w:r>
        <w:t>BR-007: Compliance officers shall inspect an immutable chronological history of all cryptographic key access events.</w:t>
      </w:r>
    </w:p>
    <w:p>
      <w:r>
        <w:t>BR-008: Role-based access control shall separate security administrators from application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