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— QuantumVault KMS</w:t>
      </w:r>
    </w:p>
    <w:p>
      <w:r>
        <w:t>FR-101: The key manager displays HMAC algorithm metadata and signature verification logs on the security dashboard.</w:t>
      </w:r>
    </w:p>
    <w:p>
      <w:r>
        <w:t>FR-102: The crypto engine computes HMAC-SHA256 digests over inbound HTTP request payloads.</w:t>
      </w:r>
    </w:p>
    <w:p>
      <w:r>
        <w:t>FR-103: The key generator creates new RSA-4096 asymmetric key pairs.</w:t>
      </w:r>
    </w:p>
    <w:p>
      <w:r>
        <w:t>FR-104: The key lifecycle controller disables and invalidates leaked private keys immediately.</w:t>
      </w:r>
    </w:p>
    <w:p>
      <w:r>
        <w:t>FR-105: The payroll subsystem dispatches monthly direct deposit salary wires.</w:t>
      </w:r>
    </w:p>
    <w:p>
      <w:r>
        <w:t>FR-106: The secret daemon triggers automated password cycling for relational database accounts.</w:t>
      </w:r>
    </w:p>
    <w:p>
      <w:r>
        <w:t>FR-107: The archival service stores retired cryptographic keys in cold storage without receipts.</w:t>
      </w:r>
    </w:p>
    <w:p>
      <w:r>
        <w:t>FR-108: The key vault archives deprecated keys and downloads compliance audit certificates.</w:t>
      </w:r>
    </w:p>
    <w:p>
      <w:r>
        <w:t>FR-109: The entropy monitor calculates Shannon entropy distributions for hardware RNG devices.</w:t>
      </w:r>
    </w:p>
    <w:p>
      <w:r>
        <w:t>FR-110: The key intake engine shall identify and reject duplicate key material matching existing fingerprint signatures.</w:t>
      </w:r>
    </w:p>
    <w:p>
      <w:r>
        <w:t>FR-111: Key recovery phrases shall be stored using reversible DES encryption to facilitate master password recovery.</w:t>
      </w:r>
    </w:p>
    <w:p>
      <w:r>
        <w:t>NFR-101: The KMS cryptographic signing API shall process 10,000 sign requests per second with latency under 5ms.</w:t>
      </w:r>
    </w:p>
    <w:p>
      <w:r>
        <w:t>NFR-102: The key management service shall maintain 99.999% high availability across multi-region clusters.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