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Document — QuantumVault KMS</w:t>
      </w:r>
    </w:p>
    <w:p>
      <w:r>
        <w:t>FS-201: The HMAC computation module processes SHA-256 hash calculations on API payload buffers.</w:t>
      </w:r>
    </w:p>
    <w:p>
      <w:r>
        <w:t>FS-202: The key revocation handler sets key status to REVOKED and purges cached key bytes from memory.</w:t>
      </w:r>
    </w:p>
    <w:p>
      <w:r>
        <w:t>FS-203: The credential rotation service updates database credentials using automated secret rotators.</w:t>
      </w:r>
    </w:p>
    <w:p>
      <w:r>
        <w:t>FS-204: The compliance export service generates signed audit receipts for archived key records.</w:t>
      </w:r>
    </w:p>
    <w:p>
      <w:r>
        <w:t>FS-205: The RNG statistical analyzer computes bitwise entropy variance over hardware RNG streams.</w:t>
      </w:r>
    </w:p>
    <w:p>
      <w:r>
        <w:t>FS-206: The fingerprint filter checks incoming key hashes against the active key table and blocks duplicate submissions.</w:t>
      </w:r>
    </w:p>
    <w:p>
      <w:r>
        <w:t>FS-207: Key recovery phrases must be hashed using Argon2id with random salt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