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Cases — QuantumVault KMS</w:t>
      </w:r>
    </w:p>
    <w:p>
      <w:r>
        <w:t>TC-401: Verify key rotation banner displays on the web console UI.</w:t>
      </w:r>
    </w:p>
    <w:p>
      <w:r>
        <w:t>TC-402: Verify HMAC calculation engine produces valid SHA-256 signature for test payload.</w:t>
      </w:r>
    </w:p>
    <w:p>
      <w:r>
        <w:t>TC-403: Verify private key revocation invalidates key and denies subsequent decryption requests.</w:t>
      </w:r>
    </w:p>
    <w:p>
      <w:r>
        <w:t>TC-404: Verify automated database credential cycling updates credentials in PostgreSQL instance.</w:t>
      </w:r>
    </w:p>
    <w:p>
      <w:r>
        <w:t>TC-405: Verify key archive records are created and signed compliance audit certificates are exported.</w:t>
      </w:r>
    </w:p>
    <w:p>
      <w:r>
        <w:t>TC-406: Verify RNG health module computes entropy score and alerts if entropy drops below threshold.</w:t>
      </w:r>
    </w:p>
    <w:p>
      <w:r>
        <w:t>TC-407: Verify duplicate key import request is blocked with duplicate fingerprint warning.</w:t>
      </w:r>
    </w:p>
    <w:p>
      <w:r>
        <w:t>TC-410: Verify breakroom microwave heats soup within 2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