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&amp; Architecture Decisions — QuantumVault KMS</w:t>
      </w:r>
    </w:p>
    <w:p>
      <w:r>
        <w:t>DEC-601: Team agreed to deploy RingBuffer in-memory cache to detect duplicate key import requests within 100ms.</w:t>
      </w:r>
    </w:p>
    <w:p>
      <w:r>
        <w:t>DEC-602: Decided to enforce mandatory quarterly rotation for all relational database service accounts.</w:t>
      </w:r>
    </w:p>
    <w:p>
      <w:r>
        <w:t>DEC-607: Discussed catering vendors for the upcoming quarterly company picnic but reached no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