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TravelOps Corporate Travel &amp; Expense</w:t>
      </w:r>
    </w:p>
    <w:p>
      <w:r>
        <w:t>FR-101: The trip booking service shall allow employees to enter destination, travel dates, project codes, and submit travel requests.</w:t>
      </w:r>
    </w:p>
    <w:p>
      <w:r>
        <w:t>FR-102: The estimation engine shall compute projected trip costs based on corporate travel policies and preferred vendor rate tables.</w:t>
      </w:r>
    </w:p>
    <w:p>
      <w:r>
        <w:t>FR-103: The manager workflow service shall route pending travel requests to the employee's designated manager for approval or rejection.</w:t>
      </w:r>
    </w:p>
    <w:p>
      <w:r>
        <w:t>FR-104: The cancellation module shall permit employees to withdraw pending unapproved travel requests and release hold reservations.</w:t>
      </w:r>
    </w:p>
    <w:p>
      <w:r>
        <w:t>FR-105: The mobile receipt service shall allow employees to photograph receipts, perform OCR text extraction, and attach receipts to claims.</w:t>
      </w:r>
    </w:p>
    <w:p>
      <w:r>
        <w:t>FR-106: The fraud prevention module shall compute perceptual image hashes to detect and reject duplicate receipt uploads across claims.</w:t>
      </w:r>
    </w:p>
    <w:p>
      <w:r>
        <w:t>FR-107: The access control engine shall enforce RBAC permissions preventing employees from accessing other travelers' expense records.</w:t>
      </w:r>
    </w:p>
    <w:p>
      <w:r>
        <w:t>FR-108: The financial reconciliation service shall match approved expense line items against corporate credit card statement transactions.</w:t>
      </w:r>
    </w:p>
    <w:p>
      <w:r>
        <w:t>FR-109: Employee password credentials shall be stored using reversible DES encryption so that corporate IT helpdesk can recover passwords.</w:t>
      </w:r>
    </w:p>
    <w:p>
      <w:r>
        <w:t>FR-110: The platform shall support a minimum of 8000 concurrent month-end sessions during peak global expense submission rush.</w:t>
      </w:r>
    </w:p>
    <w:p>
      <w:r>
        <w:t>NFR-101: The mobile and web applications shall comply with SOC-2 Type II financial data security standards.</w:t>
      </w:r>
    </w:p>
    <w:p>
      <w:r>
        <w:t>NFR-102: The travel approval workflow shall maintain 99.95% system uptime during standard business operating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