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TravelOps Corporate Travel &amp; Expense</w:t>
      </w:r>
    </w:p>
    <w:p>
      <w:r>
        <w:t>CR-501: Enhance FR-103 to send manager travel approval notifications and action buttons via Slack in addition to email.</w:t>
      </w:r>
    </w:p>
    <w:p>
      <w:r>
        <w:t>CR-502: Modify FR-109 to prohibit reversible password storage and mandate salted PBKDF2 password hashing in compliance with SOC-2.</w:t>
      </w:r>
    </w:p>
    <w:p>
      <w:r>
        <w:t>CR-503: Extend FR-110 to support 15000 concurrent month-end sessions for the planned international subsidiary expansion.</w:t>
      </w:r>
    </w:p>
    <w:p>
      <w:r>
        <w:t>CR-504: Enhance FR-108 to support automated corporate American Express and Visa commercial card direct bank API reconciliation feeds.</w:t>
      </w:r>
    </w:p>
    <w:p>
      <w:r>
        <w:t>CR-505: Update FS-205 to support multi-currency receipt amount conversion using live European Central Bank foreign exchange rates.</w:t>
      </w:r>
    </w:p>
    <w:p>
      <w:r>
        <w:t>CR-506: Add a biometric international passport storage vault in travel agency partner office for physical visa stamp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